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17"/>
        <w:jc w:val="right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8992235</wp:posOffset>
                </wp:positionH>
                <wp:positionV relativeFrom="paragraph">
                  <wp:posOffset>-240030</wp:posOffset>
                </wp:positionV>
                <wp:extent cx="695960" cy="175895"/>
                <wp:effectExtent l="635" t="635" r="0" b="5715"/>
                <wp:wrapSquare wrapText="largest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17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center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Додаток  4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708.05pt;margin-top:-18.9pt;width:54.7pt;height:13.7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jc w:val="center"/>
                        <w:rPr/>
                      </w:pPr>
                      <w:r>
                        <w:rPr>
                          <w:color w:val="00000A"/>
                        </w:rPr>
                        <w:t>Додаток 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lang w:val="uk-UA" w:eastAsia="ru-RU"/>
        </w:rPr>
        <w:t xml:space="preserve">до  Порядку розроблення міських цільових програм, моніторингу та звітності про їх виконання          </w:t>
      </w:r>
    </w:p>
    <w:p>
      <w:pPr>
        <w:pStyle w:val="17"/>
        <w:jc w:val="center"/>
        <w:rPr/>
      </w:pPr>
      <w:r>
        <w:rPr>
          <w:b/>
          <w:sz w:val="28"/>
          <w:szCs w:val="28"/>
          <w:lang w:val="uk-UA" w:eastAsia="ru-RU"/>
        </w:rPr>
        <w:t xml:space="preserve">      </w:t>
      </w:r>
    </w:p>
    <w:p>
      <w:pPr>
        <w:pStyle w:val="1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Інформація про виконання програми за   </w:t>
      </w:r>
      <w:r>
        <w:rPr>
          <w:rFonts w:cs="Times New Roman" w:ascii="Times New Roman" w:hAnsi="Times New Roman"/>
          <w:sz w:val="28"/>
          <w:szCs w:val="28"/>
          <w:u w:val="single"/>
        </w:rPr>
        <w:t>2019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327" w:type="dxa"/>
        <w:jc w:val="left"/>
        <w:tblInd w:w="0" w:type="dxa"/>
        <w:tblBorders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956"/>
        <w:gridCol w:w="1526"/>
        <w:gridCol w:w="1260"/>
        <w:gridCol w:w="11584"/>
      </w:tblGrid>
      <w:tr>
        <w:trPr>
          <w:trHeight w:val="310" w:hRule="atLeast"/>
          <w:cantSplit w:val="true"/>
        </w:trPr>
        <w:tc>
          <w:tcPr>
            <w:tcW w:w="95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26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0200000</w:t>
            </w:r>
          </w:p>
        </w:tc>
        <w:tc>
          <w:tcPr>
            <w:tcW w:w="1260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58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  <w:u w:val="single"/>
              </w:rPr>
              <w:t>Виконавчий комітет Ніжинської міської ради</w:t>
            </w:r>
            <w:r>
              <w:rPr>
                <w:sz w:val="28"/>
                <w:szCs w:val="28"/>
              </w:rPr>
              <w:t>____</w:t>
            </w:r>
          </w:p>
        </w:tc>
      </w:tr>
      <w:tr>
        <w:trPr>
          <w:trHeight w:val="206" w:hRule="atLeast"/>
          <w:cantSplit w:val="true"/>
        </w:trPr>
        <w:tc>
          <w:tcPr>
            <w:tcW w:w="95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6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КВКВ</w:t>
            </w:r>
          </w:p>
        </w:tc>
        <w:tc>
          <w:tcPr>
            <w:tcW w:w="1260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58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Style w:val="Spelle"/>
                <w:sz w:val="28"/>
                <w:szCs w:val="28"/>
                <w:u w:val="single"/>
              </w:rPr>
              <w:t>найменування</w:t>
            </w:r>
            <w:r>
              <w:rPr>
                <w:sz w:val="28"/>
                <w:szCs w:val="28"/>
                <w:u w:val="single"/>
              </w:rPr>
              <w:t xml:space="preserve"> головного </w:t>
            </w:r>
            <w:r>
              <w:rPr>
                <w:rStyle w:val="Spelle"/>
                <w:sz w:val="28"/>
                <w:szCs w:val="28"/>
                <w:u w:val="single"/>
              </w:rPr>
              <w:t>розпорядника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Style w:val="Spelle"/>
                <w:sz w:val="28"/>
                <w:szCs w:val="28"/>
                <w:u w:val="single"/>
              </w:rPr>
              <w:t>коштів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Style w:val="Spelle"/>
                <w:sz w:val="28"/>
                <w:szCs w:val="28"/>
                <w:u w:val="single"/>
              </w:rPr>
              <w:t>програми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10" w:hRule="atLeast"/>
          <w:cantSplit w:val="true"/>
        </w:trPr>
        <w:tc>
          <w:tcPr>
            <w:tcW w:w="95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6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0210000      </w:t>
            </w:r>
          </w:p>
        </w:tc>
        <w:tc>
          <w:tcPr>
            <w:tcW w:w="1260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58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u w:val="single"/>
              </w:rPr>
              <w:t>______Виконавчий комітет Ніжинської міської ради____</w:t>
            </w:r>
          </w:p>
        </w:tc>
      </w:tr>
      <w:tr>
        <w:trPr>
          <w:trHeight w:val="310" w:hRule="atLeast"/>
          <w:cantSplit w:val="true"/>
        </w:trPr>
        <w:tc>
          <w:tcPr>
            <w:tcW w:w="95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26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КВКВ</w:t>
            </w:r>
          </w:p>
        </w:tc>
        <w:tc>
          <w:tcPr>
            <w:tcW w:w="1260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58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Style w:val="Spelle"/>
                <w:sz w:val="28"/>
                <w:szCs w:val="28"/>
              </w:rPr>
              <w:t>найменування відповідальних виконавців програми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10" w:hRule="atLeast"/>
          <w:cantSplit w:val="true"/>
        </w:trPr>
        <w:tc>
          <w:tcPr>
            <w:tcW w:w="95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6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0217130  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0217650  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0217660   </w:t>
            </w:r>
          </w:p>
        </w:tc>
        <w:tc>
          <w:tcPr>
            <w:tcW w:w="1260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584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Здійснення заходів із землеустрою,  </w:t>
            </w:r>
          </w:p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Проведення експертної грошової оцінки земельної ділянки чи права на неї</w:t>
            </w:r>
          </w:p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Підготовка земельних ділянок несільськогосподарського призначення або прав на них комунальної власності для продажу на земельних торгах та проведення таких торгів</w:t>
            </w:r>
          </w:p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                    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Міська програма реалізації повноважень міської ради у галузі земельних відносин на 2019 рік,</w:t>
            </w:r>
          </w:p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рішення Ніжинської  міської ради  </w:t>
            </w: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>VII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скликання від   16 січня 2019 року № 7-50/2019</w:t>
            </w:r>
          </w:p>
        </w:tc>
      </w:tr>
      <w:tr>
        <w:trPr>
          <w:trHeight w:val="310" w:hRule="atLeast"/>
          <w:cantSplit w:val="true"/>
        </w:trPr>
        <w:tc>
          <w:tcPr>
            <w:tcW w:w="95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26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КТКВК</w:t>
            </w:r>
          </w:p>
        </w:tc>
        <w:tc>
          <w:tcPr>
            <w:tcW w:w="1260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58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Style w:val="Spelle"/>
                <w:sz w:val="18"/>
                <w:szCs w:val="18"/>
              </w:rPr>
              <w:t>найменування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Spelle"/>
                <w:sz w:val="18"/>
                <w:szCs w:val="18"/>
              </w:rPr>
              <w:t>програми</w:t>
            </w:r>
            <w:r>
              <w:rPr>
                <w:sz w:val="18"/>
                <w:szCs w:val="18"/>
              </w:rPr>
              <w:t xml:space="preserve">, дата </w:t>
            </w:r>
            <w:r>
              <w:rPr>
                <w:rStyle w:val="Spelle"/>
                <w:sz w:val="18"/>
                <w:szCs w:val="18"/>
              </w:rPr>
              <w:t>і</w:t>
            </w:r>
            <w:r>
              <w:rPr>
                <w:sz w:val="18"/>
                <w:szCs w:val="18"/>
              </w:rPr>
              <w:t xml:space="preserve"> номер </w:t>
            </w:r>
            <w:r>
              <w:rPr>
                <w:rStyle w:val="Grame"/>
                <w:sz w:val="18"/>
                <w:szCs w:val="18"/>
              </w:rPr>
              <w:t>р</w:t>
            </w:r>
            <w:r>
              <w:rPr>
                <w:rStyle w:val="Spelle"/>
                <w:sz w:val="18"/>
                <w:szCs w:val="18"/>
              </w:rPr>
              <w:t>ішення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Spelle"/>
                <w:sz w:val="18"/>
                <w:szCs w:val="18"/>
              </w:rPr>
              <w:t>міської</w:t>
            </w:r>
            <w:r>
              <w:rPr>
                <w:sz w:val="18"/>
                <w:szCs w:val="18"/>
              </w:rPr>
              <w:t xml:space="preserve"> ради про </w:t>
            </w:r>
            <w:r>
              <w:rPr>
                <w:rStyle w:val="Spelle"/>
                <w:sz w:val="18"/>
                <w:szCs w:val="18"/>
              </w:rPr>
              <w:t>її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Spelle"/>
                <w:sz w:val="18"/>
                <w:szCs w:val="18"/>
              </w:rPr>
              <w:t>затвердження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>
          <w:sz w:val="28"/>
          <w:szCs w:val="28"/>
        </w:rPr>
        <w:t>4. Напрями діяльності та завдання міської цільової програми:</w:t>
      </w:r>
    </w:p>
    <w:p>
      <w:pPr>
        <w:pStyle w:val="18"/>
        <w:numPr>
          <w:ilvl w:val="0"/>
          <w:numId w:val="1"/>
        </w:numPr>
        <w:jc w:val="both"/>
        <w:rPr/>
      </w:pPr>
      <w:bookmarkStart w:id="0" w:name="_Hlk501371951"/>
      <w:bookmarkEnd w:id="0"/>
      <w:r>
        <w:rPr>
          <w:sz w:val="28"/>
          <w:szCs w:val="28"/>
        </w:rPr>
        <w:t>виготовлення нормативної грошової оцінки земель м. Ніжина;</w:t>
      </w:r>
    </w:p>
    <w:p>
      <w:pPr>
        <w:pStyle w:val="18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проведення інвентаризації земель м. Ніжина;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передача земельних ділянок у власність або у користування;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забезпечення інформаційної відкритості процесу </w:t>
      </w:r>
      <w:r>
        <w:rPr>
          <w:bCs/>
          <w:iCs/>
          <w:sz w:val="28"/>
          <w:szCs w:val="28"/>
        </w:rPr>
        <w:t>реалізації повноважень міської ради у галузі земельних відносин</w:t>
      </w:r>
      <w:r>
        <w:rPr>
          <w:sz w:val="28"/>
          <w:szCs w:val="28"/>
        </w:rPr>
        <w:t>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  <w:u w:val="single"/>
        </w:rPr>
        <w:t xml:space="preserve">Міська програма реалізації повноважень міської ради </w:t>
      </w:r>
      <w:r>
        <w:rPr>
          <w:color w:val="000000"/>
          <w:sz w:val="28"/>
          <w:szCs w:val="28"/>
          <w:u w:val="single"/>
        </w:rPr>
        <w:t>у галузі земельних відносин на 2019 рік</w:t>
      </w:r>
    </w:p>
    <w:p>
      <w:pPr>
        <w:pStyle w:val="Normal"/>
        <w:jc w:val="center"/>
        <w:rPr/>
      </w:pPr>
      <w:r>
        <w:rPr>
          <w:bCs/>
          <w:color w:val="000000"/>
          <w:sz w:val="28"/>
          <w:szCs w:val="28"/>
          <w:u w:val="single"/>
        </w:rPr>
        <w:t>(назва програми)</w:t>
      </w:r>
    </w:p>
    <w:p>
      <w:pPr>
        <w:pStyle w:val="Normal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</w:r>
    </w:p>
    <w:p>
      <w:pPr>
        <w:pStyle w:val="Normal"/>
        <w:jc w:val="center"/>
        <w:rPr>
          <w:bCs/>
          <w:color w:val="000000"/>
          <w:u w:val="single"/>
        </w:rPr>
      </w:pPr>
      <w:r>
        <w:rPr>
          <w:bCs/>
          <w:color w:val="000000"/>
          <w:u w:val="single"/>
        </w:rPr>
      </w:r>
    </w:p>
    <w:p>
      <w:pPr>
        <w:pStyle w:val="Normal"/>
        <w:jc w:val="center"/>
        <w:rPr>
          <w:bCs/>
          <w:color w:val="000000"/>
          <w:u w:val="single"/>
        </w:rPr>
      </w:pPr>
      <w:r>
        <w:rPr>
          <w:bCs/>
          <w:color w:val="000000"/>
          <w:u w:val="single"/>
        </w:rPr>
      </w:r>
    </w:p>
    <w:p>
      <w:pPr>
        <w:pStyle w:val="Normal"/>
        <w:jc w:val="center"/>
        <w:rPr>
          <w:bCs/>
          <w:color w:val="000000"/>
          <w:u w:val="single"/>
        </w:rPr>
      </w:pPr>
      <w:r>
        <w:rPr>
          <w:bCs/>
          <w:color w:val="000000"/>
          <w:u w:val="single"/>
        </w:rPr>
      </w:r>
    </w:p>
    <w:p>
      <w:pPr>
        <w:pStyle w:val="Normal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</w:r>
    </w:p>
    <w:tbl>
      <w:tblPr>
        <w:tblW w:w="14884" w:type="dxa"/>
        <w:jc w:val="left"/>
        <w:tblInd w:w="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2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510"/>
        <w:gridCol w:w="2042"/>
        <w:gridCol w:w="2410"/>
        <w:gridCol w:w="850"/>
        <w:gridCol w:w="708"/>
        <w:gridCol w:w="710"/>
        <w:gridCol w:w="850"/>
        <w:gridCol w:w="851"/>
        <w:gridCol w:w="850"/>
        <w:gridCol w:w="852"/>
        <w:gridCol w:w="992"/>
        <w:gridCol w:w="850"/>
        <w:gridCol w:w="566"/>
        <w:gridCol w:w="1"/>
        <w:gridCol w:w="1841"/>
      </w:tblGrid>
      <w:tr>
        <w:trPr>
          <w:trHeight w:val="508" w:hRule="atLeast"/>
          <w:cantSplit w:val="true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rStyle w:val="Spelle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/</w:t>
            </w:r>
            <w:r>
              <w:rPr>
                <w:rStyle w:val="Grame"/>
                <w:sz w:val="20"/>
                <w:szCs w:val="20"/>
              </w:rPr>
              <w:t>п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Grame"/>
                <w:sz w:val="20"/>
                <w:szCs w:val="20"/>
              </w:rPr>
              <w:t>Завдання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pelle"/>
                <w:sz w:val="20"/>
                <w:szCs w:val="20"/>
              </w:rPr>
              <w:t>Відповідальний виконавець</w:t>
            </w:r>
            <w:r>
              <w:rPr>
                <w:sz w:val="20"/>
                <w:szCs w:val="20"/>
              </w:rPr>
              <w:t xml:space="preserve"> та строк </w:t>
            </w:r>
            <w:r>
              <w:rPr>
                <w:rStyle w:val="Spelle"/>
                <w:sz w:val="20"/>
                <w:szCs w:val="20"/>
              </w:rPr>
              <w:t>виконання</w:t>
            </w:r>
            <w:r>
              <w:rPr>
                <w:sz w:val="20"/>
                <w:szCs w:val="20"/>
              </w:rPr>
              <w:t xml:space="preserve"> завдання</w:t>
            </w:r>
          </w:p>
          <w:p>
            <w:pPr>
              <w:pStyle w:val="Style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411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Стан </w:t>
            </w:r>
            <w:r>
              <w:rPr>
                <w:rStyle w:val="Spelle"/>
                <w:sz w:val="20"/>
                <w:szCs w:val="20"/>
              </w:rPr>
              <w:t>виконання</w:t>
            </w:r>
            <w:r>
              <w:rPr>
                <w:sz w:val="20"/>
                <w:szCs w:val="20"/>
              </w:rPr>
              <w:t xml:space="preserve"> завдань (</w:t>
            </w:r>
            <w:r>
              <w:rPr>
                <w:rStyle w:val="Spelle"/>
                <w:sz w:val="20"/>
                <w:szCs w:val="20"/>
              </w:rPr>
              <w:t>результативні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показники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виконання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програми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>
          <w:trHeight w:val="246" w:hRule="atLeast"/>
          <w:cantSplit w:val="true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31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20"/>
                <w:szCs w:val="20"/>
              </w:rPr>
              <w:t>у тому числі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32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20"/>
                <w:szCs w:val="20"/>
              </w:rPr>
              <w:t>у тому числі</w:t>
            </w:r>
          </w:p>
        </w:tc>
        <w:tc>
          <w:tcPr>
            <w:tcW w:w="184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210" w:hRule="atLeast"/>
          <w:cantSplit w:val="true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20"/>
                <w:szCs w:val="20"/>
              </w:rPr>
              <w:t>держ. бюджет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20"/>
                <w:szCs w:val="20"/>
              </w:rPr>
              <w:t>обл. бюджет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20"/>
                <w:szCs w:val="20"/>
              </w:rPr>
              <w:t>міськ. бюджет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20"/>
                <w:szCs w:val="20"/>
              </w:rPr>
              <w:t>кошти з інших  джерел</w:t>
            </w:r>
          </w:p>
        </w:tc>
        <w:tc>
          <w:tcPr>
            <w:tcW w:w="8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20"/>
                <w:szCs w:val="20"/>
              </w:rPr>
              <w:t>держ. бюджет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20"/>
                <w:szCs w:val="20"/>
              </w:rPr>
              <w:t>обл. бюджет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20"/>
                <w:szCs w:val="20"/>
              </w:rPr>
              <w:t>міськ. бюджет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20"/>
                <w:szCs w:val="20"/>
              </w:rPr>
              <w:t>кошти з інших джерел</w:t>
            </w:r>
          </w:p>
        </w:tc>
        <w:tc>
          <w:tcPr>
            <w:tcW w:w="184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20" w:hRule="atLeast"/>
          <w:cantSplit w:val="true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Розробка проекту землеустрою щодо встановлення і зміни межі міста Ніжина; проведення інвентаризації земель та водних об</w:t>
            </w:r>
            <w:r>
              <w:rPr>
                <w:lang w:val="ru-RU"/>
              </w:rPr>
              <w:t>’</w:t>
            </w:r>
            <w:r>
              <w:rPr/>
              <w:t>єктів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Відділ земельних відносин виконкому, протягом 2019р.</w:t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50" w:hRule="atLeast"/>
          <w:cantSplit w:val="true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bCs/>
                <w:lang w:eastAsia="ar-SA"/>
              </w:rPr>
              <w:t>Інформаційне забезпечення</w:t>
            </w:r>
            <w:r>
              <w:rPr/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Відділ земельних відносин виконкому, протягом 2019р.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highlight w:val="yellow"/>
              </w:rPr>
            </w:pPr>
            <w:r>
              <w:rPr/>
              <w:t>_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/>
              <w:t>_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88" w:hRule="atLeast"/>
          <w:cantSplit w:val="true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bookmarkStart w:id="1" w:name="_GoBack"/>
            <w:bookmarkEnd w:id="1"/>
            <w:r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Послуги оцінки земельних ділянок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Відділ земельних відносин виконкому, протягом 2019р.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40,0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11,1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/>
            </w:r>
          </w:p>
          <w:p>
            <w:pPr>
              <w:pStyle w:val="2"/>
              <w:jc w:val="center"/>
              <w:rPr/>
            </w:pPr>
            <w:r>
              <w:rPr/>
              <w:t>11,1</w:t>
            </w:r>
          </w:p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  <w:t>Послуги з експертно-грошової оцінки по земельним ділянкам за адресами:</w:t>
            </w:r>
          </w:p>
          <w:p>
            <w:pPr>
              <w:pStyle w:val="Normal"/>
              <w:snapToGrid w:val="false"/>
              <w:rPr/>
            </w:pPr>
            <w:r>
              <w:rPr/>
              <w:t>1. м.Ніжин, вул. Воздвиженська, 13.</w:t>
            </w:r>
          </w:p>
          <w:p>
            <w:pPr>
              <w:pStyle w:val="Normal"/>
              <w:snapToGrid w:val="false"/>
              <w:rPr/>
            </w:pPr>
            <w:r>
              <w:rPr/>
              <w:t xml:space="preserve">2. м.Ніжин, вул. Вокзальна, 1В. </w:t>
            </w:r>
          </w:p>
          <w:p>
            <w:pPr>
              <w:pStyle w:val="Normal"/>
              <w:snapToGrid w:val="false"/>
              <w:rPr/>
            </w:pPr>
            <w:r>
              <w:rPr/>
              <w:t>3. м.Ніжин, вул. Борзнянський шлях, 57-Є</w:t>
            </w:r>
          </w:p>
        </w:tc>
      </w:tr>
    </w:tbl>
    <w:p>
      <w:pPr>
        <w:pStyle w:val="211"/>
        <w:spacing w:lineRule="auto" w:line="240" w:before="0" w:after="0"/>
        <w:ind w:left="0" w:hanging="0"/>
        <w:jc w:val="both"/>
        <w:rPr/>
      </w:pPr>
      <w:r>
        <w:rPr/>
      </w:r>
    </w:p>
    <w:p>
      <w:pPr>
        <w:pStyle w:val="211"/>
        <w:spacing w:lineRule="auto" w:line="240" w:before="0" w:after="0"/>
        <w:ind w:left="0" w:hanging="0"/>
        <w:jc w:val="both"/>
        <w:rPr/>
      </w:pPr>
      <w:r>
        <w:rPr/>
        <w:t xml:space="preserve">5. Аналіз виконання за видатками в цілому за програмою: 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</w:t>
      </w:r>
      <w:r>
        <w:rPr/>
        <w:t>тис. гривень</w:t>
      </w:r>
    </w:p>
    <w:tbl>
      <w:tblPr>
        <w:tblW w:w="14911" w:type="dxa"/>
        <w:jc w:val="left"/>
        <w:tblInd w:w="2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14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418"/>
        <w:gridCol w:w="1843"/>
        <w:gridCol w:w="1701"/>
        <w:gridCol w:w="1549"/>
        <w:gridCol w:w="1710"/>
        <w:gridCol w:w="1733"/>
        <w:gridCol w:w="1417"/>
        <w:gridCol w:w="1529"/>
        <w:gridCol w:w="2009"/>
      </w:tblGrid>
      <w:tr>
        <w:trPr>
          <w:trHeight w:val="293" w:hRule="atLeast"/>
          <w:cantSplit w:val="true"/>
        </w:trPr>
        <w:tc>
          <w:tcPr>
            <w:tcW w:w="49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pelle"/>
                <w:sz w:val="20"/>
                <w:szCs w:val="20"/>
              </w:rPr>
              <w:t>Проведені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видатки</w:t>
            </w:r>
          </w:p>
        </w:tc>
        <w:tc>
          <w:tcPr>
            <w:tcW w:w="49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pelle"/>
                <w:sz w:val="20"/>
                <w:szCs w:val="20"/>
              </w:rPr>
              <w:t>Відхилення</w:t>
            </w:r>
          </w:p>
        </w:tc>
      </w:tr>
      <w:tr>
        <w:trPr>
          <w:trHeight w:val="293" w:hRule="atLeast"/>
          <w:cantSplit w:val="true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фонд</w:t>
            </w:r>
          </w:p>
        </w:tc>
      </w:tr>
      <w:tr>
        <w:trPr>
          <w:trHeight w:val="293" w:hRule="atLeast"/>
          <w:cantSplit w:val="true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200,0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50,0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11,</w:t>
            </w:r>
            <w:r>
              <w:rPr/>
              <w:t>8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0,7</w:t>
            </w: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11,</w:t>
            </w:r>
            <w:r>
              <w:rPr/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-188,</w:t>
            </w:r>
            <w:r>
              <w:rPr/>
              <w:t>2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-1</w:t>
            </w:r>
            <w:r>
              <w:rPr/>
              <w:t>49,3</w:t>
            </w:r>
          </w:p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14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-38,9</w:t>
            </w:r>
          </w:p>
        </w:tc>
      </w:tr>
    </w:tbl>
    <w:p>
      <w:pPr>
        <w:pStyle w:val="Normal"/>
        <w:rPr/>
      </w:pPr>
      <w:r>
        <w:rPr/>
        <w:t>Пояснення причин відхилення: залишок невикористаних лімітів на 01.04.2019р.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Міський голова</w:t>
        <w:tab/>
        <w:tab/>
        <w:tab/>
        <w:tab/>
        <w:tab/>
        <w:tab/>
        <w:tab/>
        <w:tab/>
        <w:tab/>
        <w:t xml:space="preserve">     А.В.Лінник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Головний бухгалтер</w:t>
        <w:tab/>
        <w:tab/>
        <w:tab/>
        <w:tab/>
        <w:tab/>
        <w:tab/>
        <w:tab/>
        <w:tab/>
        <w:tab/>
        <w:t xml:space="preserve">     Н.Є.Єфіменко</w:t>
      </w:r>
    </w:p>
    <w:sectPr>
      <w:footerReference w:type="default" r:id="rId2"/>
      <w:type w:val="nextPage"/>
      <w:pgSz w:orient="landscape" w:w="16838" w:h="11906"/>
      <w:pgMar w:left="1134" w:right="1134" w:header="0" w:top="709" w:footer="708" w:bottom="76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8881745</wp:posOffset>
              </wp:positionH>
              <wp:positionV relativeFrom="paragraph">
                <wp:posOffset>635</wp:posOffset>
              </wp:positionV>
              <wp:extent cx="1085850" cy="170815"/>
              <wp:effectExtent l="4445" t="1905" r="0" b="0"/>
              <wp:wrapSquare wrapText="largest"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040" cy="170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699.35pt;margin-top:0.05pt;width:85.4pt;height:13.35pt;mso-position-horizontal-relative:page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8"/>
        <w:b/>
        <w:szCs w:val="28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uk-UA" w:eastAsia="zh-CN" w:bidi="ar-SA"/>
    </w:rPr>
  </w:style>
  <w:style w:type="paragraph" w:styleId="1">
    <w:name w:val="Heading 1"/>
    <w:basedOn w:val="Normal"/>
    <w:qFormat/>
    <w:pPr>
      <w:keepNext/>
      <w:tabs>
        <w:tab w:val="left" w:pos="0" w:leader="none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qFormat/>
    <w:pPr>
      <w:keepNext/>
      <w:tabs>
        <w:tab w:val="left" w:pos="0" w:leader="none"/>
      </w:tabs>
      <w:jc w:val="right"/>
      <w:outlineLvl w:val="1"/>
    </w:pPr>
    <w:rPr>
      <w:sz w:val="28"/>
      <w:szCs w:val="28"/>
    </w:rPr>
  </w:style>
  <w:style w:type="paragraph" w:styleId="5">
    <w:name w:val="Heading 5"/>
    <w:basedOn w:val="Normal"/>
    <w:qFormat/>
    <w:pPr>
      <w:tabs>
        <w:tab w:val="left" w:pos="0" w:leader="none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b/>
      <w:sz w:val="28"/>
      <w:szCs w:val="28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3" w:customStyle="1">
    <w:name w:val="Основной шрифт абзаца3"/>
    <w:qFormat/>
    <w:rPr/>
  </w:style>
  <w:style w:type="character" w:styleId="21" w:customStyle="1">
    <w:name w:val="Основной шрифт абзаца2"/>
    <w:qFormat/>
    <w:rPr/>
  </w:style>
  <w:style w:type="character" w:styleId="11" w:customStyle="1">
    <w:name w:val="Основной шрифт абзаца1"/>
    <w:qFormat/>
    <w:rPr/>
  </w:style>
  <w:style w:type="character" w:styleId="12" w:customStyle="1">
    <w:name w:val="Заголовок 1 Знак"/>
    <w:basedOn w:val="11"/>
    <w:qFormat/>
    <w:rPr>
      <w:rFonts w:ascii="Arial" w:hAnsi="Arial" w:eastAsia="Times New Roman" w:cs="Arial"/>
      <w:b/>
      <w:bCs/>
      <w:sz w:val="32"/>
      <w:szCs w:val="32"/>
      <w:lang w:val="uk-UA"/>
    </w:rPr>
  </w:style>
  <w:style w:type="character" w:styleId="22" w:customStyle="1">
    <w:name w:val="Заголовок 2 Знак"/>
    <w:basedOn w:val="11"/>
    <w:qFormat/>
    <w:rPr>
      <w:rFonts w:ascii="Times New Roman" w:hAnsi="Times New Roman" w:eastAsia="Times New Roman" w:cs="Times New Roman"/>
      <w:sz w:val="28"/>
      <w:szCs w:val="28"/>
      <w:lang w:val="uk-UA"/>
    </w:rPr>
  </w:style>
  <w:style w:type="character" w:styleId="51" w:customStyle="1">
    <w:name w:val="Заголовок 5 Знак"/>
    <w:basedOn w:val="11"/>
    <w:qFormat/>
    <w:rPr>
      <w:rFonts w:ascii="Times New Roman" w:hAnsi="Times New Roman" w:eastAsia="Times New Roman" w:cs="Times New Roman"/>
      <w:b/>
      <w:bCs/>
      <w:i/>
      <w:iCs/>
      <w:sz w:val="26"/>
      <w:szCs w:val="26"/>
      <w:lang w:val="uk-UA"/>
    </w:rPr>
  </w:style>
  <w:style w:type="character" w:styleId="Style11" w:customStyle="1">
    <w:name w:val="Основной текст Знак"/>
    <w:basedOn w:val="11"/>
    <w:qFormat/>
    <w:rPr>
      <w:rFonts w:ascii="Times New Roman" w:hAnsi="Times New Roman" w:eastAsia="Times New Roman" w:cs="Times New Roman"/>
      <w:sz w:val="28"/>
      <w:szCs w:val="28"/>
    </w:rPr>
  </w:style>
  <w:style w:type="character" w:styleId="23" w:customStyle="1">
    <w:name w:val="Основной текст с отступом 2 Знак"/>
    <w:basedOn w:val="11"/>
    <w:qFormat/>
    <w:rPr>
      <w:rFonts w:ascii="Times New Roman" w:hAnsi="Times New Roman" w:eastAsia="Times New Roman" w:cs="Times New Roman"/>
      <w:sz w:val="24"/>
      <w:szCs w:val="24"/>
      <w:lang w:val="uk-UA"/>
    </w:rPr>
  </w:style>
  <w:style w:type="character" w:styleId="Style12" w:customStyle="1">
    <w:name w:val="Верхний колонтитул Знак"/>
    <w:basedOn w:val="11"/>
    <w:qFormat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11"/>
    <w:qFormat/>
    <w:rPr/>
  </w:style>
  <w:style w:type="character" w:styleId="Spelle" w:customStyle="1">
    <w:name w:val="spelle"/>
    <w:basedOn w:val="11"/>
    <w:qFormat/>
    <w:rPr/>
  </w:style>
  <w:style w:type="character" w:styleId="Grame" w:customStyle="1">
    <w:name w:val="grame"/>
    <w:basedOn w:val="11"/>
    <w:qFormat/>
    <w:rPr/>
  </w:style>
  <w:style w:type="character" w:styleId="Style13" w:customStyle="1">
    <w:name w:val="Нижний колонтитул Знак"/>
    <w:basedOn w:val="11"/>
    <w:qFormat/>
    <w:rPr>
      <w:rFonts w:ascii="Times New Roman" w:hAnsi="Times New Roman" w:eastAsia="Times New Roman" w:cs="Times New Roman"/>
      <w:sz w:val="24"/>
      <w:szCs w:val="24"/>
      <w:lang w:val="uk-UA"/>
    </w:rPr>
  </w:style>
  <w:style w:type="character" w:styleId="ListLabel1" w:customStyle="1">
    <w:name w:val="ListLabel 1"/>
    <w:qFormat/>
    <w:rPr>
      <w:rFonts w:eastAsia="Times New Roman" w:cs="Times New Roman"/>
      <w:b/>
      <w:sz w:val="28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  <w:b/>
      <w:sz w:val="28"/>
      <w:szCs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rFonts w:cs="Times New Roman"/>
      <w:b/>
      <w:sz w:val="28"/>
      <w:szCs w:val="28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jc w:val="both"/>
    </w:pPr>
    <w:rPr>
      <w:sz w:val="28"/>
      <w:szCs w:val="28"/>
      <w:lang w:val="ru-RU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4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5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4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5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Style19">
    <w:name w:val="Header"/>
    <w:basedOn w:val="Normal"/>
    <w:pPr/>
    <w:rPr>
      <w:lang w:val="ru-RU"/>
    </w:rPr>
  </w:style>
  <w:style w:type="paragraph" w:styleId="16" w:customStyle="1">
    <w:name w:val="Цитата1"/>
    <w:basedOn w:val="Normal"/>
    <w:qFormat/>
    <w:pPr>
      <w:spacing w:before="280" w:after="280"/>
    </w:pPr>
    <w:rPr>
      <w:lang w:val="ru-RU"/>
    </w:rPr>
  </w:style>
  <w:style w:type="paragraph" w:styleId="Style20">
    <w:name w:val="Footer"/>
    <w:basedOn w:val="Normal"/>
    <w:pPr/>
    <w:rPr/>
  </w:style>
  <w:style w:type="paragraph" w:styleId="17" w:customStyle="1">
    <w:name w:val="Обычный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ru-RU" w:eastAsia="zh-CN" w:bidi="ar-SA"/>
    </w:rPr>
  </w:style>
  <w:style w:type="paragraph" w:styleId="P8" w:customStyle="1">
    <w:name w:val="p8"/>
    <w:basedOn w:val="Normal"/>
    <w:qFormat/>
    <w:pPr>
      <w:spacing w:before="280" w:after="280"/>
    </w:pPr>
    <w:rPr>
      <w:lang w:val="ru-RU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Normal"/>
    <w:qFormat/>
    <w:pPr/>
    <w:rPr/>
  </w:style>
  <w:style w:type="paragraph" w:styleId="18" w:customStyle="1">
    <w:name w:val="Абзац списка1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B9388-C47E-47D8-B819-BAB69FD7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LibreOffice/5.2.3.3$Windows_X86_64 LibreOffice_project/d54a8868f08a7b39642414cf2c8ef2f228f780cf</Application>
  <Pages>3</Pages>
  <Words>372</Words>
  <Characters>2421</Characters>
  <CharactersWithSpaces>2975</CharactersWithSpaces>
  <Paragraphs>104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2019-04-05T09:53:00Z</dcterms:created>
  <dc:creator>Finance</dc:creator>
  <dc:description/>
  <dc:language>ru-RU</dc:language>
  <cp:lastModifiedBy/>
  <cp:lastPrinted>2019-04-08T11:19:50Z</cp:lastPrinted>
  <dcterms:modified xsi:type="dcterms:W3CDTF">2019-04-08T11:19:55Z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